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SSSHMasthead"/>
      </w:pPr>
      <w:r>
        <w:t xml:space="preserve">ESS Conference Series: Social Science and Humanities</w:t>
      </w:r>
    </w:p>
    <w:p>
      <w:pPr>
        <w:pBdr>
          <w:bottom w:val="single" w:color="1B4D3A" w:sz="6" w:space="1"/>
        </w:pBdr>
        <w:spacing w:after="100" w:before="100"/>
      </w:pPr>
    </w:p>
    <w:p>
      <w:pPr>
        <w:pStyle w:val="CSSSHTitle"/>
        <w:spacing w:after="240" w:before="140"/>
      </w:pPr>
      <w:r>
        <w:t xml:space="preserve">Manuscript Template</w:t>
      </w:r>
    </w:p>
    <w:tbl>
      <w:tblPr>
        <w:tblW w:type="dxa" w:w="9072"/>
        <w:tblBorders>
          <w:top w:val="none" w:color="FFFFFF" w:sz="0"/>
          <w:left w:val="single" w:color="1B4D3A" w:sz="12"/>
          <w:bottom w:val="none" w:color="FFFFFF" w:sz="0"/>
          <w:right w:val="none" w:color="FFFFFF" w:sz="0"/>
          <w:insideH w:val="none" w:color="FFFFFF" w:sz="0"/>
          <w:insideV w:val="none" w:color="FFFFFF" w:sz="0"/>
        </w:tblBorders>
      </w:tblPr>
      <w:tblGrid>
        <w:gridCol w:w="9072"/>
      </w:tblGrid>
      <w:tr>
        <w:tc>
          <w:tcPr>
            <w:tcW w:type="dxa" w:w="9072"/>
            <w:shd w:fill="F4F2EA" w:color="auto" w:val="clear"/>
            <w:tcMar>
              <w:top w:type="dxa" w:w="160"/>
              <w:left w:type="dxa" w:w="220"/>
              <w:bottom w:type="dxa" w:w="160"/>
              <w:right w:type="dxa" w:w="220"/>
            </w:tcMar>
          </w:tcPr>
          <w:p>
            <w:pPr>
              <w:pStyle w:val="CSSSHRuleVal"/>
            </w:pPr>
            <w:r>
              <w:rPr>
                <w:b/>
                <w:bCs/>
              </w:rPr>
              <w:t xml:space="preserve">Everything after this page is a worked example of the required formatting. </w:t>
            </w:r>
            <w:r>
              <w:t xml:space="preserve">Write your article over it, keeping the paragraph styles, and delete this page before you submit. The example is shortened to keep the file readable; your article must run to 5,000–7,000 words and carry at least 15 references.</w:t>
            </w:r>
          </w:p>
        </w:tc>
      </w:tr>
    </w:tbl>
    <w:p>
      <w:pPr>
        <w:pStyle w:val="Heading1"/>
      </w:pPr>
      <w:r>
        <w:t xml:space="preserve">Requirements</w:t>
      </w:r>
    </w:p>
    <w:tbl>
      <w:tblPr>
        <w:tblW w:type="dxa" w:w="9072"/>
        <w:tblBorders>
          <w:top w:val="single" w:color="CFCFCF" w:sz="4"/>
          <w:left w:val="none" w:color="FFFFFF" w:sz="0"/>
          <w:bottom w:val="single" w:color="CFCFCF" w:sz="4"/>
          <w:right w:val="none" w:color="FFFFFF" w:sz="0"/>
          <w:insideH w:val="single" w:color="E4E4E4" w:sz="2"/>
          <w:insideV w:val="none" w:color="FFFFFF" w:sz="0"/>
        </w:tblBorders>
      </w:tblPr>
      <w:tblGrid>
        <w:gridCol w:w="2300"/>
        <w:gridCol w:w="6772"/>
      </w:tblGrid>
      <w:tr>
        <w:tc>
          <w:tcPr>
            <w:tcW w:type="dxa" w:w="2300"/>
            <w:tcMar>
              <w:top w:type="dxa" w:w="70"/>
              <w:left w:type="dxa" w:w="0"/>
              <w:bottom w:type="dxa" w:w="70"/>
              <w:right w:type="dxa" w:w="160"/>
            </w:tcMar>
          </w:tcPr>
          <w:p>
            <w:pPr>
              <w:pStyle w:val="CSSSHRuleKey"/>
            </w:pPr>
            <w:r>
              <w:t xml:space="preserve">Language</w:t>
            </w:r>
          </w:p>
        </w:tc>
        <w:tc>
          <w:tcPr>
            <w:tcW w:type="dxa" w:w="6772"/>
            <w:tcMar>
              <w:top w:type="dxa" w:w="70"/>
              <w:left w:type="dxa" w:w="0"/>
              <w:bottom w:type="dxa" w:w="70"/>
              <w:right w:type="dxa" w:w="0"/>
            </w:tcMar>
          </w:tcPr>
          <w:p>
            <w:pPr>
              <w:pStyle w:val="CSSSHRuleVal"/>
            </w:pPr>
            <w:r>
              <w:t xml:space="preserve">English only. Title, abstract and keywords in English.</w:t>
            </w:r>
          </w:p>
        </w:tc>
      </w:tr>
      <w:tr>
        <w:tc>
          <w:tcPr>
            <w:tcW w:type="dxa" w:w="2300"/>
            <w:tcMar>
              <w:top w:type="dxa" w:w="70"/>
              <w:left w:type="dxa" w:w="0"/>
              <w:bottom w:type="dxa" w:w="70"/>
              <w:right w:type="dxa" w:w="160"/>
            </w:tcMar>
          </w:tcPr>
          <w:p>
            <w:pPr>
              <w:pStyle w:val="CSSSHRuleKey"/>
            </w:pPr>
            <w:r>
              <w:t xml:space="preserve">Length</w:t>
            </w:r>
          </w:p>
        </w:tc>
        <w:tc>
          <w:tcPr>
            <w:tcW w:type="dxa" w:w="6772"/>
            <w:tcMar>
              <w:top w:type="dxa" w:w="70"/>
              <w:left w:type="dxa" w:w="0"/>
              <w:bottom w:type="dxa" w:w="70"/>
              <w:right w:type="dxa" w:w="0"/>
            </w:tcMar>
          </w:tcPr>
          <w:p>
            <w:pPr>
              <w:pStyle w:val="CSSSHRuleVal"/>
            </w:pPr>
            <w:r>
              <w:t xml:space="preserve">5,000–7,000 words, including references.</w:t>
            </w:r>
          </w:p>
        </w:tc>
      </w:tr>
      <w:tr>
        <w:tc>
          <w:tcPr>
            <w:tcW w:type="dxa" w:w="2300"/>
            <w:tcMar>
              <w:top w:type="dxa" w:w="70"/>
              <w:left w:type="dxa" w:w="0"/>
              <w:bottom w:type="dxa" w:w="70"/>
              <w:right w:type="dxa" w:w="160"/>
            </w:tcMar>
          </w:tcPr>
          <w:p>
            <w:pPr>
              <w:pStyle w:val="CSSSHRuleKey"/>
            </w:pPr>
            <w:r>
              <w:t xml:space="preserve">Structure</w:t>
            </w:r>
          </w:p>
        </w:tc>
        <w:tc>
          <w:tcPr>
            <w:tcW w:type="dxa" w:w="6772"/>
            <w:tcMar>
              <w:top w:type="dxa" w:w="70"/>
              <w:left w:type="dxa" w:w="0"/>
              <w:bottom w:type="dxa" w:w="70"/>
              <w:right w:type="dxa" w:w="0"/>
            </w:tcMar>
          </w:tcPr>
          <w:p>
            <w:pPr>
              <w:pStyle w:val="CSSSHRuleVal"/>
            </w:pPr>
            <w:r>
              <w:t xml:space="preserve">IMRAD: Introduction, Materials and Methods, Results, Discussion, then Conclusions. Where the discipline does not admit IMRAD, use clearly numbered sections that keep the argument traceable.</w:t>
            </w:r>
          </w:p>
        </w:tc>
      </w:tr>
      <w:tr>
        <w:tc>
          <w:tcPr>
            <w:tcW w:type="dxa" w:w="2300"/>
            <w:tcMar>
              <w:top w:type="dxa" w:w="70"/>
              <w:left w:type="dxa" w:w="0"/>
              <w:bottom w:type="dxa" w:w="70"/>
              <w:right w:type="dxa" w:w="160"/>
            </w:tcMar>
          </w:tcPr>
          <w:p>
            <w:pPr>
              <w:pStyle w:val="CSSSHRuleKey"/>
            </w:pPr>
            <w:r>
              <w:t xml:space="preserve">Page setup</w:t>
            </w:r>
          </w:p>
        </w:tc>
        <w:tc>
          <w:tcPr>
            <w:tcW w:type="dxa" w:w="6772"/>
            <w:tcMar>
              <w:top w:type="dxa" w:w="70"/>
              <w:left w:type="dxa" w:w="0"/>
              <w:bottom w:type="dxa" w:w="70"/>
              <w:right w:type="dxa" w:w="0"/>
            </w:tcMar>
          </w:tcPr>
          <w:p>
            <w:pPr>
              <w:pStyle w:val="CSSSHRuleVal"/>
            </w:pPr>
            <w:r>
              <w:t xml:space="preserve">A4; margins 2.5 cm; PT Serif 11 pt; line spacing 1.15; justified; first-line indent 0.5 cm.</w:t>
            </w:r>
          </w:p>
        </w:tc>
      </w:tr>
      <w:tr>
        <w:tc>
          <w:tcPr>
            <w:tcW w:type="dxa" w:w="2300"/>
            <w:tcMar>
              <w:top w:type="dxa" w:w="70"/>
              <w:left w:type="dxa" w:w="0"/>
              <w:bottom w:type="dxa" w:w="70"/>
              <w:right w:type="dxa" w:w="160"/>
            </w:tcMar>
          </w:tcPr>
          <w:p>
            <w:pPr>
              <w:pStyle w:val="CSSSHRuleKey"/>
            </w:pPr>
            <w:r>
              <w:t xml:space="preserve">Title</w:t>
            </w:r>
          </w:p>
        </w:tc>
        <w:tc>
          <w:tcPr>
            <w:tcW w:type="dxa" w:w="6772"/>
            <w:tcMar>
              <w:top w:type="dxa" w:w="70"/>
              <w:left w:type="dxa" w:w="0"/>
              <w:bottom w:type="dxa" w:w="70"/>
              <w:right w:type="dxa" w:w="0"/>
            </w:tcMar>
          </w:tcPr>
          <w:p>
            <w:pPr>
              <w:pStyle w:val="CSSSHRuleVal"/>
            </w:pPr>
            <w:r>
              <w:t xml:space="preserve">Up to 20 words; avoid a subtitle where the sense allows.</w:t>
            </w:r>
          </w:p>
        </w:tc>
      </w:tr>
      <w:tr>
        <w:tc>
          <w:tcPr>
            <w:tcW w:type="dxa" w:w="2300"/>
            <w:tcMar>
              <w:top w:type="dxa" w:w="70"/>
              <w:left w:type="dxa" w:w="0"/>
              <w:bottom w:type="dxa" w:w="70"/>
              <w:right w:type="dxa" w:w="160"/>
            </w:tcMar>
          </w:tcPr>
          <w:p>
            <w:pPr>
              <w:pStyle w:val="CSSSHRuleKey"/>
            </w:pPr>
            <w:r>
              <w:t xml:space="preserve">Authors</w:t>
            </w:r>
          </w:p>
        </w:tc>
        <w:tc>
          <w:tcPr>
            <w:tcW w:type="dxa" w:w="6772"/>
            <w:tcMar>
              <w:top w:type="dxa" w:w="70"/>
              <w:left w:type="dxa" w:w="0"/>
              <w:bottom w:type="dxa" w:w="70"/>
              <w:right w:type="dxa" w:w="0"/>
            </w:tcMar>
          </w:tcPr>
          <w:p>
            <w:pPr>
              <w:pStyle w:val="CSSSHRuleVal"/>
            </w:pPr>
            <w:r>
              <w:t xml:space="preserve">Full name, department, institution, city, country and ORCID iD for every author; e-mail for the corresponding author.</w:t>
            </w:r>
          </w:p>
        </w:tc>
      </w:tr>
      <w:tr>
        <w:tc>
          <w:tcPr>
            <w:tcW w:type="dxa" w:w="2300"/>
            <w:tcMar>
              <w:top w:type="dxa" w:w="70"/>
              <w:left w:type="dxa" w:w="0"/>
              <w:bottom w:type="dxa" w:w="70"/>
              <w:right w:type="dxa" w:w="160"/>
            </w:tcMar>
          </w:tcPr>
          <w:p>
            <w:pPr>
              <w:pStyle w:val="CSSSHRuleKey"/>
            </w:pPr>
            <w:r>
              <w:t xml:space="preserve">Abstract</w:t>
            </w:r>
          </w:p>
        </w:tc>
        <w:tc>
          <w:tcPr>
            <w:tcW w:type="dxa" w:w="6772"/>
            <w:tcMar>
              <w:top w:type="dxa" w:w="70"/>
              <w:left w:type="dxa" w:w="0"/>
              <w:bottom w:type="dxa" w:w="70"/>
              <w:right w:type="dxa" w:w="0"/>
            </w:tcMar>
          </w:tcPr>
          <w:p>
            <w:pPr>
              <w:pStyle w:val="CSSSHRuleVal"/>
            </w:pPr>
            <w:r>
              <w:t xml:space="preserve">150–250 words, one paragraph, no citations.</w:t>
            </w:r>
          </w:p>
        </w:tc>
      </w:tr>
      <w:tr>
        <w:tc>
          <w:tcPr>
            <w:tcW w:type="dxa" w:w="2300"/>
            <w:tcMar>
              <w:top w:type="dxa" w:w="70"/>
              <w:left w:type="dxa" w:w="0"/>
              <w:bottom w:type="dxa" w:w="70"/>
              <w:right w:type="dxa" w:w="160"/>
            </w:tcMar>
          </w:tcPr>
          <w:p>
            <w:pPr>
              <w:pStyle w:val="CSSSHRuleKey"/>
            </w:pPr>
            <w:r>
              <w:t xml:space="preserve">Keywords</w:t>
            </w:r>
          </w:p>
        </w:tc>
        <w:tc>
          <w:tcPr>
            <w:tcW w:type="dxa" w:w="6772"/>
            <w:tcMar>
              <w:top w:type="dxa" w:w="70"/>
              <w:left w:type="dxa" w:w="0"/>
              <w:bottom w:type="dxa" w:w="70"/>
              <w:right w:type="dxa" w:w="0"/>
            </w:tcMar>
          </w:tcPr>
          <w:p>
            <w:pPr>
              <w:pStyle w:val="CSSSHRuleVal"/>
            </w:pPr>
            <w:r>
              <w:t xml:space="preserve">4–6 terms, separated by semicolons.</w:t>
            </w:r>
          </w:p>
        </w:tc>
      </w:tr>
      <w:tr>
        <w:tc>
          <w:tcPr>
            <w:tcW w:type="dxa" w:w="2300"/>
            <w:tcMar>
              <w:top w:type="dxa" w:w="70"/>
              <w:left w:type="dxa" w:w="0"/>
              <w:bottom w:type="dxa" w:w="70"/>
              <w:right w:type="dxa" w:w="160"/>
            </w:tcMar>
          </w:tcPr>
          <w:p>
            <w:pPr>
              <w:pStyle w:val="CSSSHRuleKey"/>
            </w:pPr>
            <w:r>
              <w:t xml:space="preserve">Headings</w:t>
            </w:r>
          </w:p>
        </w:tc>
        <w:tc>
          <w:tcPr>
            <w:tcW w:type="dxa" w:w="6772"/>
            <w:tcMar>
              <w:top w:type="dxa" w:w="70"/>
              <w:left w:type="dxa" w:w="0"/>
              <w:bottom w:type="dxa" w:w="70"/>
              <w:right w:type="dxa" w:w="0"/>
            </w:tcMar>
          </w:tcPr>
          <w:p>
            <w:pPr>
              <w:pStyle w:val="CSSSHRuleVal"/>
            </w:pPr>
            <w:r>
              <w:t xml:space="preserve">Numbered 1., 1.1., 1.1.1. Use the paragraph styles named “CSSSH …” in the Styles pane of Word.</w:t>
            </w:r>
          </w:p>
        </w:tc>
      </w:tr>
      <w:tr>
        <w:tc>
          <w:tcPr>
            <w:tcW w:type="dxa" w:w="2300"/>
            <w:tcMar>
              <w:top w:type="dxa" w:w="70"/>
              <w:left w:type="dxa" w:w="0"/>
              <w:bottom w:type="dxa" w:w="70"/>
              <w:right w:type="dxa" w:w="160"/>
            </w:tcMar>
          </w:tcPr>
          <w:p>
            <w:pPr>
              <w:pStyle w:val="CSSSHRuleKey"/>
            </w:pPr>
            <w:r>
              <w:t xml:space="preserve">Tables and figures</w:t>
            </w:r>
          </w:p>
        </w:tc>
        <w:tc>
          <w:tcPr>
            <w:tcW w:type="dxa" w:w="6772"/>
            <w:tcMar>
              <w:top w:type="dxa" w:w="70"/>
              <w:left w:type="dxa" w:w="0"/>
              <w:bottom w:type="dxa" w:w="70"/>
              <w:right w:type="dxa" w:w="0"/>
            </w:tcMar>
          </w:tcPr>
          <w:p>
            <w:pPr>
              <w:pStyle w:val="CSSSHRuleVal"/>
            </w:pPr>
            <w:r>
              <w:t xml:space="preserve">Numbered, titled and referred to in the text. Each figure is also uploaded as a separate file, 300 dpi or higher, legible in black and white, with an alt-text.</w:t>
            </w:r>
          </w:p>
        </w:tc>
      </w:tr>
      <w:tr>
        <w:tc>
          <w:tcPr>
            <w:tcW w:type="dxa" w:w="2300"/>
            <w:tcMar>
              <w:top w:type="dxa" w:w="70"/>
              <w:left w:type="dxa" w:w="0"/>
              <w:bottom w:type="dxa" w:w="70"/>
              <w:right w:type="dxa" w:w="160"/>
            </w:tcMar>
          </w:tcPr>
          <w:p>
            <w:pPr>
              <w:pStyle w:val="CSSSHRuleKey"/>
            </w:pPr>
            <w:r>
              <w:t xml:space="preserve">Declarations</w:t>
            </w:r>
          </w:p>
        </w:tc>
        <w:tc>
          <w:tcPr>
            <w:tcW w:type="dxa" w:w="6772"/>
            <w:tcMar>
              <w:top w:type="dxa" w:w="70"/>
              <w:left w:type="dxa" w:w="0"/>
              <w:bottom w:type="dxa" w:w="70"/>
              <w:right w:type="dxa" w:w="0"/>
            </w:tcMar>
          </w:tcPr>
          <w:p>
            <w:pPr>
              <w:pStyle w:val="CSSSHRuleVal"/>
            </w:pPr>
            <w:r>
              <w:t xml:space="preserve">All six, at the end of the article and before the references: Author Contributions (CRediT), Funding, Conflicts of Interest, Ethics Statement, Data Availability, Use of Artificial Intelligence.</w:t>
            </w:r>
          </w:p>
        </w:tc>
      </w:tr>
      <w:tr>
        <w:tc>
          <w:tcPr>
            <w:tcW w:type="dxa" w:w="2300"/>
            <w:tcMar>
              <w:top w:type="dxa" w:w="70"/>
              <w:left w:type="dxa" w:w="0"/>
              <w:bottom w:type="dxa" w:w="70"/>
              <w:right w:type="dxa" w:w="160"/>
            </w:tcMar>
          </w:tcPr>
          <w:p>
            <w:pPr>
              <w:pStyle w:val="CSSSHRuleKey"/>
            </w:pPr>
            <w:r>
              <w:t xml:space="preserve">References</w:t>
            </w:r>
          </w:p>
        </w:tc>
        <w:tc>
          <w:tcPr>
            <w:tcW w:type="dxa" w:w="6772"/>
            <w:tcMar>
              <w:top w:type="dxa" w:w="70"/>
              <w:left w:type="dxa" w:w="0"/>
              <w:bottom w:type="dxa" w:w="70"/>
              <w:right w:type="dxa" w:w="0"/>
            </w:tcMar>
          </w:tcPr>
          <w:p>
            <w:pPr>
              <w:pStyle w:val="CSSSHRuleVal"/>
            </w:pPr>
            <w:r>
              <w:t xml:space="preserve">APA 7th edition; at least 15 sources; alphabetical order; hanging indent; every DOI as a full link. Every source must be verifiable and current — the editors check them.</w:t>
            </w:r>
          </w:p>
        </w:tc>
      </w:tr>
      <w:tr>
        <w:tc>
          <w:tcPr>
            <w:tcW w:type="dxa" w:w="2300"/>
            <w:tcMar>
              <w:top w:type="dxa" w:w="70"/>
              <w:left w:type="dxa" w:w="0"/>
              <w:bottom w:type="dxa" w:w="70"/>
              <w:right w:type="dxa" w:w="160"/>
            </w:tcMar>
          </w:tcPr>
          <w:p>
            <w:pPr>
              <w:pStyle w:val="CSSSHRuleKey"/>
            </w:pPr>
            <w:r>
              <w:t xml:space="preserve">Submission</w:t>
            </w:r>
          </w:p>
        </w:tc>
        <w:tc>
          <w:tcPr>
            <w:tcW w:type="dxa" w:w="6772"/>
            <w:tcMar>
              <w:top w:type="dxa" w:w="70"/>
              <w:left w:type="dxa" w:w="0"/>
              <w:bottom w:type="dxa" w:w="70"/>
              <w:right w:type="dxa" w:w="0"/>
            </w:tcMar>
          </w:tcPr>
          <w:p>
            <w:pPr>
              <w:pStyle w:val="CSSSHRuleVal"/>
            </w:pPr>
            <w:r>
              <w:t xml:space="preserve">One file, prepared in this template, through the journal’s OJS system.</w:t>
            </w:r>
          </w:p>
        </w:tc>
      </w:tr>
    </w:tbl>
    <w:p>
      <w:pPr>
        <w:pStyle w:val="CSSSHRuleVal"/>
        <w:spacing w:before="160"/>
      </w:pPr>
      <w:r>
        <w:t xml:space="preserve">Full author guidelines: </w:t>
      </w:r>
      <w:hyperlink w:history="1" r:id="rIdqry9b20nffp2sc5lyd1ps">
        <w:r>
          <w:rPr>
            <w:color w:val="1F5C8B"/>
            <w:u w:val="single"/>
          </w:rPr>
          <w:t xml:space="preserve">https://csssh.ess.press/index.php/CSSSH/about/submissions</w:t>
        </w:r>
      </w:hyperlink>
    </w:p>
    <w:p>
      <w:r>
        <w:br w:type="page"/>
      </w:r>
    </w:p>
    <w:p>
      <w:pPr>
        <w:pStyle w:val="CSSSHTitle"/>
        <w:spacing w:after="160" w:before="0"/>
      </w:pPr>
      <w:r>
        <w:t xml:space="preserve">Digital Administrative Procedures and Institutional Trust: A Framework for Comparative Assessment</w:t>
      </w:r>
    </w:p>
    <w:p>
      <w:pPr>
        <w:pStyle w:val="CSSSHAuthor"/>
      </w:pPr>
      <w:r>
        <w:t xml:space="preserve">First Author Name</w:t>
      </w:r>
    </w:p>
    <w:p>
      <w:pPr>
        <w:pStyle w:val="CSSSHAffiliation"/>
      </w:pPr>
      <w:r>
        <w:t xml:space="preserve">Department of Public Administration</w:t>
      </w:r>
    </w:p>
    <w:p>
      <w:pPr>
        <w:pStyle w:val="CSSSHAffiliation"/>
      </w:pPr>
      <w:r>
        <w:t xml:space="preserve">Institution Name</w:t>
      </w:r>
    </w:p>
    <w:p>
      <w:pPr>
        <w:pStyle w:val="CSSSHAffiliation"/>
      </w:pPr>
      <w:r>
        <w:t xml:space="preserve">City, Country</w:t>
      </w:r>
    </w:p>
    <w:p>
      <w:pPr>
        <w:pStyle w:val="CSSSHAffiliation"/>
      </w:pPr>
      <w:r>
        <w:t xml:space="preserve">ORCID iD: 0000-0000-0000-0000</w:t>
      </w:r>
    </w:p>
    <w:p>
      <w:pPr>
        <w:pStyle w:val="CSSSHAffiliation"/>
      </w:pPr>
      <w:r>
        <w:t xml:space="preserve">first.author@institution.edu</w:t>
      </w:r>
    </w:p>
    <w:p>
      <w:pPr>
        <w:pStyle w:val="CSSSHAuthor"/>
      </w:pPr>
      <w:r>
        <w:t xml:space="preserve">Second Author Name</w:t>
      </w:r>
    </w:p>
    <w:p>
      <w:pPr>
        <w:pStyle w:val="CSSSHAffiliation"/>
      </w:pPr>
      <w:r>
        <w:t xml:space="preserve">Department of Law</w:t>
      </w:r>
    </w:p>
    <w:p>
      <w:pPr>
        <w:pStyle w:val="CSSSHAffiliation"/>
      </w:pPr>
      <w:r>
        <w:t xml:space="preserve">Institution Name</w:t>
      </w:r>
    </w:p>
    <w:p>
      <w:pPr>
        <w:pStyle w:val="CSSSHAffiliation"/>
      </w:pPr>
      <w:r>
        <w:t xml:space="preserve">City, Country</w:t>
      </w:r>
    </w:p>
    <w:p>
      <w:pPr>
        <w:pStyle w:val="CSSSHAffiliation"/>
      </w:pPr>
      <w:r>
        <w:t xml:space="preserve">ORCID iD: 0000-0000-0000-0000</w:t>
      </w:r>
    </w:p>
    <w:p>
      <w:pPr>
        <w:pStyle w:val="CSSSHAbstract"/>
        <w:spacing w:before="240"/>
      </w:pPr>
      <w:r>
        <w:rPr>
          <w:b/>
          <w:bCs/>
          <w:i w:val="false"/>
          <w:iCs w:val="false"/>
        </w:rPr>
        <w:t xml:space="preserve">Abstract. </w:t>
      </w:r>
      <w:r>
        <w:t xml:space="preserve">The digitalisation of administrative procedures is usually assessed through indicators of availability and speed, while its effect on the relationship between the individual and the administration remains poorly measured. This article proposes a framework for assessing digital administrative procedures against three conditions of institutional trust: intelligibility, contestability and accessibility. The framework is derived from European legal standards on automated decision-making and from the public-law literature on good administration, and is applied to 240 procedures drawn from six national e-government portals. The analysis shows that procedures with comparable availability scores differ substantially in whether a decision can be explained and challenged by the person it concerns, and that the gap is widest in the service groups where decisions bear most directly on individual circumstances. The article argues that availability indices overstate institutional readiness where reason-giving and remedy are not built into the procedure, and proposes three indicators that can be collected alongside existing e-government measurements.</w:t>
      </w:r>
    </w:p>
    <w:p>
      <w:pPr>
        <w:pStyle w:val="CSSSHKeywords"/>
      </w:pPr>
      <w:r>
        <w:rPr>
          <w:b/>
          <w:bCs/>
        </w:rPr>
        <w:t xml:space="preserve">Keywords: </w:t>
      </w:r>
      <w:r>
        <w:t xml:space="preserve">digital administration; institutional trust; automated decision-making; good administration; e-government assessment</w:t>
      </w:r>
    </w:p>
    <w:p>
      <w:pPr>
        <w:pStyle w:val="Heading1"/>
      </w:pPr>
      <w:r>
        <w:t xml:space="preserve">1. Introduction</w:t>
      </w:r>
    </w:p>
    <w:p>
      <w:pPr>
        <w:pStyle w:val="CSSSHBody"/>
      </w:pPr>
      <w:r>
        <w:t xml:space="preserve">The digitalisation of administrative procedures has been assessed for two decades mainly through indicators of availability: how many services can be started online, how many can be completed without a visit to an office, and how long each takes. These measurements have driven national strategies and international benchmarking, and they capture something real. They say considerably less about what happens to the relationship between the individual and the administration once a procedure moves into a digital channel and, increasingly, into a partly automated one (Røhl, 2023).</w:t>
      </w:r>
    </w:p>
    <w:p>
      <w:pPr>
        <w:pStyle w:val="CSSSHBody"/>
      </w:pPr>
      <w:r>
        <w:t xml:space="preserve">European legal standards approach the same shift from the opposite direction. The Charter of Fundamental Rights of the European Union (2016) protects the right to good administration, including the obligation to give reasons. The General Data Protection Regulation grants a person subject to a solely automated decision the right to obtain human intervention and to contest the decision (European Parliament and Council of the European Union, 2016), and the guidance of the European Data Protection Board (2018) treats reason-giving as a condition of lawfulness rather than a courtesy. The Artificial Intelligence Act (European Parliament and Council of the European Union, 2024) and the Council of Europe Framework Convention on Artificial Intelligence (2024) extend the same logic to AI-assisted administration. The literature on digital constitutionalism reads these instruments as an attempt to keep public authority intelligible where it is exercised through technical systems (De Gregorio, 2022; Greenstein, 2022).</w:t>
      </w:r>
    </w:p>
    <w:p>
      <w:pPr>
        <w:pStyle w:val="CSSSHBody"/>
      </w:pPr>
      <w:r>
        <w:t xml:space="preserve">This article asks how far availability-based assessment corresponds to the conditions under which administrative authority remains contestable. It proposes a three-condition framework — intelligibility, contestability and accessibility — and applies it to a sample of national procedures. Section 2 sets out the material and the method, section 3 reports the results, section 4 discusses their implications and limitations, and section 5 states the conclusions.</w:t>
      </w:r>
    </w:p>
    <w:p>
      <w:pPr>
        <w:pStyle w:val="Heading1"/>
      </w:pPr>
      <w:r>
        <w:t xml:space="preserve">2. Materials and Methods</w:t>
      </w:r>
    </w:p>
    <w:p>
      <w:pPr>
        <w:pStyle w:val="CSSSHBody"/>
      </w:pPr>
      <w:r>
        <w:t xml:space="preserve">The material consists of 240 administrative procedures drawn from the e-government portals of six European jurisdictions and coded between January and April 2026. Procedures were selected to cover five service groups of comparable significance for individual applicants: registration of residence, business licensing, social benefits, tax filings and construction permits.</w:t>
      </w:r>
    </w:p>
    <w:p>
      <w:pPr>
        <w:pStyle w:val="CSSSHBody"/>
      </w:pPr>
      <w:r>
        <w:t xml:space="preserve">Each procedure was coded on three binary indicators derived from the standards set out in section 1: whether the decision is accompanied by reasons in a form the applicant receives; whether an appeal route is stated within the procedure itself; and whether a non-digital channel remains available. Coding was carried out independently by two coders, with disagreements in 11 per cent of cases resolved by discussion. The accessibility indicator follows the treatment of the digital divide in Kouroutakis (2024), and procedures with an automated decision component were additionally described using the risk vocabulary of the generative artificial-intelligence profile of the United States National Institute of Standards and Technology (Autio et al., 2024). The method is documentary: it measures what a procedure offers, not what applicants experience, a limitation returned to in section 4.</w:t>
      </w:r>
    </w:p>
    <w:p>
      <w:pPr>
        <w:pStyle w:val="Heading1"/>
      </w:pPr>
      <w:r>
        <w:t xml:space="preserve">3. Results</w:t>
      </w:r>
    </w:p>
    <w:p>
      <w:pPr>
        <w:pStyle w:val="CSSSHBody"/>
      </w:pPr>
      <w:r>
        <w:t xml:space="preserve">Availability and contestability diverge in every service group examined. Table 1 sets out the three conditions and the indicator used for each. Figure 1 compares the share of procedures available online with the share in which reasons are given and an appeal route is stated.</w:t>
      </w:r>
    </w:p>
    <w:p>
      <w:pPr>
        <w:pStyle w:val="CSSSHCaption"/>
      </w:pPr>
      <w:r>
        <w:rPr>
          <w:b/>
          <w:bCs/>
        </w:rPr>
        <w:t xml:space="preserve">Table 1</w:t>
      </w:r>
    </w:p>
    <w:p>
      <w:pPr>
        <w:pStyle w:val="CSSSHCaption"/>
        <w:spacing w:after="100" w:before="0"/>
      </w:pPr>
      <w:r>
        <w:rPr>
          <w:i/>
          <w:iCs/>
        </w:rPr>
        <w:t xml:space="preserve">Conditions of Institutional Trust and the Indicators Used in the Coding</w:t>
      </w:r>
    </w:p>
    <w:tbl>
      <w:tblPr>
        <w:tblW w:type="dxa" w:w="9072"/>
        <w:tblBorders>
          <w:top w:val="single" w:color="000000" w:sz="8"/>
          <w:left w:val="none" w:color="FFFFFF" w:sz="0"/>
          <w:bottom w:val="single" w:color="000000" w:sz="8"/>
          <w:right w:val="none" w:color="FFFFFF" w:sz="0"/>
          <w:insideH w:val="single" w:color="999999" w:sz="4"/>
          <w:insideV w:val="none" w:color="FFFFFF" w:sz="0"/>
        </w:tblBorders>
      </w:tblPr>
      <w:tblGrid>
        <w:gridCol w:w="1900"/>
        <w:gridCol w:w="3900"/>
        <w:gridCol w:w="3272"/>
      </w:tblGrid>
      <w:tr>
        <w:trPr>
          <w:tblHeader/>
        </w:trPr>
        <w:tc>
          <w:tcPr>
            <w:tcW w:type="dxa" w:w="1900"/>
            <w:shd w:fill="EDEFEC" w:color="auto" w:val="clear"/>
            <w:tcMar>
              <w:top w:type="dxa" w:w="70"/>
              <w:left w:type="dxa" w:w="100"/>
              <w:bottom w:type="dxa" w:w="70"/>
              <w:right w:type="dxa" w:w="100"/>
            </w:tcMar>
          </w:tcPr>
          <w:p>
            <w:pPr>
              <w:pStyle w:val="CSSSHTableText"/>
              <w:keepNext/>
            </w:pPr>
            <w:r>
              <w:rPr>
                <w:b/>
                <w:bCs/>
              </w:rPr>
              <w:t xml:space="preserve">Condition</w:t>
            </w:r>
          </w:p>
        </w:tc>
        <w:tc>
          <w:tcPr>
            <w:tcW w:type="dxa" w:w="3900"/>
            <w:shd w:fill="EDEFEC" w:color="auto" w:val="clear"/>
            <w:tcMar>
              <w:top w:type="dxa" w:w="70"/>
              <w:left w:type="dxa" w:w="100"/>
              <w:bottom w:type="dxa" w:w="70"/>
              <w:right w:type="dxa" w:w="100"/>
            </w:tcMar>
          </w:tcPr>
          <w:p>
            <w:pPr>
              <w:pStyle w:val="CSSSHTableText"/>
              <w:keepNext/>
            </w:pPr>
            <w:r>
              <w:rPr>
                <w:b/>
                <w:bCs/>
              </w:rPr>
              <w:t xml:space="preserve">Indicator used in the coding</w:t>
            </w:r>
          </w:p>
        </w:tc>
        <w:tc>
          <w:tcPr>
            <w:tcW w:type="dxa" w:w="3272"/>
            <w:shd w:fill="EDEFEC" w:color="auto" w:val="clear"/>
            <w:tcMar>
              <w:top w:type="dxa" w:w="70"/>
              <w:left w:type="dxa" w:w="100"/>
              <w:bottom w:type="dxa" w:w="70"/>
              <w:right w:type="dxa" w:w="100"/>
            </w:tcMar>
          </w:tcPr>
          <w:p>
            <w:pPr>
              <w:pStyle w:val="CSSSHTableText"/>
              <w:keepNext/>
            </w:pPr>
            <w:r>
              <w:rPr>
                <w:b/>
                <w:bCs/>
              </w:rPr>
              <w:t xml:space="preserve">Legal basis</w:t>
            </w:r>
          </w:p>
        </w:tc>
      </w:tr>
      <w:tr>
        <w:tc>
          <w:tcPr>
            <w:tcW w:type="dxa" w:w="1900"/>
            <w:tcMar>
              <w:top w:type="dxa" w:w="70"/>
              <w:left w:type="dxa" w:w="100"/>
              <w:bottom w:type="dxa" w:w="70"/>
              <w:right w:type="dxa" w:w="100"/>
            </w:tcMar>
          </w:tcPr>
          <w:p>
            <w:pPr>
              <w:pStyle w:val="CSSSHTableText"/>
              <w:keepNext/>
            </w:pPr>
            <w:r>
              <w:rPr>
                <w:b w:val="false"/>
                <w:bCs w:val="false"/>
              </w:rPr>
              <w:t xml:space="preserve">Intelligibility</w:t>
            </w:r>
          </w:p>
        </w:tc>
        <w:tc>
          <w:tcPr>
            <w:tcW w:type="dxa" w:w="3900"/>
            <w:tcMar>
              <w:top w:type="dxa" w:w="70"/>
              <w:left w:type="dxa" w:w="100"/>
              <w:bottom w:type="dxa" w:w="70"/>
              <w:right w:type="dxa" w:w="100"/>
            </w:tcMar>
          </w:tcPr>
          <w:p>
            <w:pPr>
              <w:pStyle w:val="CSSSHTableText"/>
              <w:keepNext/>
            </w:pPr>
            <w:r>
              <w:rPr>
                <w:b w:val="false"/>
                <w:bCs w:val="false"/>
              </w:rPr>
              <w:t xml:space="preserve">Reasons are given in a form the applicant receives</w:t>
            </w:r>
          </w:p>
        </w:tc>
        <w:tc>
          <w:tcPr>
            <w:tcW w:type="dxa" w:w="3272"/>
            <w:tcMar>
              <w:top w:type="dxa" w:w="70"/>
              <w:left w:type="dxa" w:w="100"/>
              <w:bottom w:type="dxa" w:w="70"/>
              <w:right w:type="dxa" w:w="100"/>
            </w:tcMar>
          </w:tcPr>
          <w:p>
            <w:pPr>
              <w:pStyle w:val="CSSSHTableText"/>
              <w:keepNext/>
            </w:pPr>
            <w:r>
              <w:rPr>
                <w:b w:val="false"/>
                <w:bCs w:val="false"/>
              </w:rPr>
              <w:t xml:space="preserve">Charter, Art. 41; AI Act, Art. 86</w:t>
            </w:r>
          </w:p>
        </w:tc>
      </w:tr>
      <w:tr>
        <w:tc>
          <w:tcPr>
            <w:tcW w:type="dxa" w:w="1900"/>
            <w:tcMar>
              <w:top w:type="dxa" w:w="70"/>
              <w:left w:type="dxa" w:w="100"/>
              <w:bottom w:type="dxa" w:w="70"/>
              <w:right w:type="dxa" w:w="100"/>
            </w:tcMar>
          </w:tcPr>
          <w:p>
            <w:pPr>
              <w:pStyle w:val="CSSSHTableText"/>
              <w:keepNext/>
            </w:pPr>
            <w:r>
              <w:rPr>
                <w:b w:val="false"/>
                <w:bCs w:val="false"/>
              </w:rPr>
              <w:t xml:space="preserve">Contestability</w:t>
            </w:r>
          </w:p>
        </w:tc>
        <w:tc>
          <w:tcPr>
            <w:tcW w:type="dxa" w:w="3900"/>
            <w:tcMar>
              <w:top w:type="dxa" w:w="70"/>
              <w:left w:type="dxa" w:w="100"/>
              <w:bottom w:type="dxa" w:w="70"/>
              <w:right w:type="dxa" w:w="100"/>
            </w:tcMar>
          </w:tcPr>
          <w:p>
            <w:pPr>
              <w:pStyle w:val="CSSSHTableText"/>
              <w:keepNext/>
            </w:pPr>
            <w:r>
              <w:rPr>
                <w:b w:val="false"/>
                <w:bCs w:val="false"/>
              </w:rPr>
              <w:t xml:space="preserve">An appeal route is stated within the procedure itself</w:t>
            </w:r>
          </w:p>
        </w:tc>
        <w:tc>
          <w:tcPr>
            <w:tcW w:type="dxa" w:w="3272"/>
            <w:tcMar>
              <w:top w:type="dxa" w:w="70"/>
              <w:left w:type="dxa" w:w="100"/>
              <w:bottom w:type="dxa" w:w="70"/>
              <w:right w:type="dxa" w:w="100"/>
            </w:tcMar>
          </w:tcPr>
          <w:p>
            <w:pPr>
              <w:pStyle w:val="CSSSHTableText"/>
              <w:keepNext/>
            </w:pPr>
            <w:r>
              <w:rPr>
                <w:b w:val="false"/>
                <w:bCs w:val="false"/>
              </w:rPr>
              <w:t xml:space="preserve">GDPR, Art. 22(3)</w:t>
            </w:r>
          </w:p>
        </w:tc>
      </w:tr>
      <w:tr>
        <w:tc>
          <w:tcPr>
            <w:tcW w:type="dxa" w:w="1900"/>
            <w:tcMar>
              <w:top w:type="dxa" w:w="70"/>
              <w:left w:type="dxa" w:w="100"/>
              <w:bottom w:type="dxa" w:w="70"/>
              <w:right w:type="dxa" w:w="100"/>
            </w:tcMar>
          </w:tcPr>
          <w:p>
            <w:pPr>
              <w:pStyle w:val="CSSSHTableText"/>
              <w:keepNext w:val="false"/>
            </w:pPr>
            <w:r>
              <w:rPr>
                <w:b w:val="false"/>
                <w:bCs w:val="false"/>
              </w:rPr>
              <w:t xml:space="preserve">Accessibility</w:t>
            </w:r>
          </w:p>
        </w:tc>
        <w:tc>
          <w:tcPr>
            <w:tcW w:type="dxa" w:w="3900"/>
            <w:tcMar>
              <w:top w:type="dxa" w:w="70"/>
              <w:left w:type="dxa" w:w="100"/>
              <w:bottom w:type="dxa" w:w="70"/>
              <w:right w:type="dxa" w:w="100"/>
            </w:tcMar>
          </w:tcPr>
          <w:p>
            <w:pPr>
              <w:pStyle w:val="CSSSHTableText"/>
              <w:keepNext w:val="false"/>
            </w:pPr>
            <w:r>
              <w:rPr>
                <w:b w:val="false"/>
                <w:bCs w:val="false"/>
              </w:rPr>
              <w:t xml:space="preserve">A non-digital channel remains available to the applicant</w:t>
            </w:r>
          </w:p>
        </w:tc>
        <w:tc>
          <w:tcPr>
            <w:tcW w:type="dxa" w:w="3272"/>
            <w:tcMar>
              <w:top w:type="dxa" w:w="70"/>
              <w:left w:type="dxa" w:w="100"/>
              <w:bottom w:type="dxa" w:w="70"/>
              <w:right w:type="dxa" w:w="100"/>
            </w:tcMar>
          </w:tcPr>
          <w:p>
            <w:pPr>
              <w:pStyle w:val="CSSSHTableText"/>
              <w:keepNext w:val="false"/>
            </w:pPr>
            <w:r>
              <w:rPr>
                <w:b w:val="false"/>
                <w:bCs w:val="false"/>
              </w:rPr>
              <w:t xml:space="preserve">CM/Rec(2020)1, para. 4.2</w:t>
            </w:r>
          </w:p>
        </w:tc>
      </w:tr>
    </w:tbl>
    <w:p>
      <w:pPr>
        <w:pStyle w:val="CSSSHNote"/>
      </w:pPr>
      <w:r>
        <w:rPr>
          <w:i/>
          <w:iCs/>
        </w:rPr>
        <w:t xml:space="preserve">Note. </w:t>
      </w:r>
      <w:r>
        <w:t xml:space="preserve">Charter = Charter of Fundamental Rights of the European Union; GDPR = General Data Protection Regulation; CM/Rec(2020)1 = Recommendation of the Committee of Ministers of the Council of Europe on the human rights impacts of algorithmic systems.</w:t>
      </w:r>
    </w:p>
    <w:p>
      <w:pPr>
        <w:pStyle w:val="CSSSHBody"/>
      </w:pPr>
      <w:r>
        <w:t xml:space="preserve">The gap is widest in social benefits and construction permits, where a majority of procedures can be completed online but fewer than a third state how the decision may be challenged. Tax filings, the most fully digitalised group, show the smallest gap. Procedures with an automated decision component — 38 of the 240 — account for a disproportionate share of the cases in which no alternative channel remained open to the applicant (Langer, 2024; Das et al., 2025).</w:t>
      </w:r>
    </w:p>
    <w:p>
      <w:pPr>
        <w:pStyle w:val="CSSSHCaption"/>
      </w:pPr>
      <w:r>
        <w:rPr>
          <w:b/>
          <w:bCs/>
        </w:rPr>
        <w:t xml:space="preserve">Figure 1</w:t>
      </w:r>
    </w:p>
    <w:p>
      <w:pPr>
        <w:pStyle w:val="CSSSHCaption"/>
        <w:spacing w:after="100" w:before="0"/>
      </w:pPr>
      <w:r>
        <w:rPr>
          <w:i/>
          <w:iCs/>
        </w:rPr>
        <w:t xml:space="preserve">Availability and Contestability of Administrative Procedures, by Service Group</w:t>
      </w:r>
    </w:p>
    <w:p>
      <w:pPr>
        <w:spacing w:after="60" w:before="60"/>
        <w:jc w:val="center"/>
      </w:pPr>
      <w:r>
        <w:drawing>
          <wp:inline distT="0" distB="0" distL="0" distR="0">
            <wp:extent cx="4324350" cy="2333625"/>
            <wp:effectExtent t="0" r="0" b="0" l="0"/>
            <wp:docPr id="1" name="Figure 1" descr="Grouped bar chart comparing, for five service groups, the share of procedures available online with the share in which reasons are given and an appeal route is stated. The second value is lower in every group, with the widest gaps in social benefits and construction permits." title="Availability and contestability of administrative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24350" cy="2333625"/>
                    </a:xfrm>
                    <a:prstGeom prst="rect">
                      <a:avLst/>
                    </a:prstGeom>
                  </pic:spPr>
                </pic:pic>
              </a:graphicData>
            </a:graphic>
          </wp:inline>
        </w:drawing>
      </w:r>
    </w:p>
    <w:p>
      <w:pPr>
        <w:pStyle w:val="CSSSHNote"/>
      </w:pPr>
      <w:r>
        <w:rPr>
          <w:i/>
          <w:iCs/>
        </w:rPr>
        <w:t xml:space="preserve">Note. </w:t>
      </w:r>
      <w:r>
        <w:t xml:space="preserve">Own coding of 240 procedures from the e-government portals of six European jurisdictions, January–April 2026. Values are percentages of the procedures within each service group.</w:t>
      </w:r>
    </w:p>
    <w:p>
      <w:pPr>
        <w:pStyle w:val="Heading1"/>
      </w:pPr>
      <w:r>
        <w:t xml:space="preserve">4. Discussion</w:t>
      </w:r>
    </w:p>
    <w:p>
      <w:pPr>
        <w:pStyle w:val="CSSSHBody"/>
      </w:pPr>
      <w:r>
        <w:t xml:space="preserve">Read together, the results suggest that availability indices describe the front end of a procedure rather than the conditions under which its outcome can be questioned. A jurisdiction can improve its position in a benchmarking exercise while the share of decisions that a person can understand and challenge stays flat, or falls, as procedures are automated (da Rosa Lazarotto, 2025; Røhl, 2023). What is at stake is the guarantee of an effective remedy familiar from the Convention for the Protection of Human Rights and Fundamental Freedoms (1950), carried into a setting where the decision is prepared by a system rather than argued over a counter.</w:t>
      </w:r>
    </w:p>
    <w:p>
      <w:pPr>
        <w:pStyle w:val="CSSSHBody"/>
      </w:pPr>
      <w:r>
        <w:t xml:space="preserve">The framework proposed here is not a substitute for availability measurement. It is a second axis, and the three indicators behind it can be collected in the same exercise at low marginal cost. Two limitations follow from the design. The coding captures what a procedure states, not whether the reasons given are adequate in substance, and the sample covers six jurisdictions with comparable administrative traditions, which limits generalisation. Both point towards work that combines documentary coding with the analysis of individual case files.</w:t>
      </w:r>
    </w:p>
    <w:p>
      <w:pPr>
        <w:pStyle w:val="Heading1"/>
      </w:pPr>
      <w:r>
        <w:t xml:space="preserve">5. Conclusions</w:t>
      </w:r>
    </w:p>
    <w:p>
      <w:pPr>
        <w:pStyle w:val="CSSSHBody"/>
      </w:pPr>
      <w:r>
        <w:t xml:space="preserve">Digital administrative procedures can be highly available and, at the same time, difficult to contest. Assessing them against intelligibility, contestability and accessibility separates the two questions and makes the second measurable alongside the first. Applied to 240 procedures, the framework shows the largest gaps precisely where administrative decisions bear most directly on individual circumstances. Three indicators — reasons received, appeal route stated, alternative channel available — can be collected alongside existing e-government measurements and would allow national strategies to report institutional readiness rather than digital coverage alone.</w:t>
      </w:r>
    </w:p>
    <w:p>
      <w:pPr>
        <w:pStyle w:val="CSSSHDecl"/>
      </w:pPr>
      <w:r>
        <w:t xml:space="preserve">Author Contributions</w:t>
      </w:r>
    </w:p>
    <w:p>
      <w:pPr>
        <w:pStyle w:val="CSSSHBody"/>
      </w:pPr>
      <w:r>
        <w:t xml:space="preserve">Conceptualisation: F.A.N.; Methodology: F.A.N. and S.A.N.; Investigation: S.A.N.; Writing — original draft: F.A.N.; Writing — review and editing: F.A.N. and S.A.N.; Supervision: S.A.N.</w:t>
      </w:r>
    </w:p>
    <w:p>
      <w:pPr>
        <w:pStyle w:val="CSSSHDecl"/>
      </w:pPr>
      <w:r>
        <w:t xml:space="preserve">Funding</w:t>
      </w:r>
    </w:p>
    <w:p>
      <w:pPr>
        <w:pStyle w:val="CSSSHBody"/>
      </w:pPr>
      <w:r>
        <w:t xml:space="preserve">This research received no external funding.</w:t>
      </w:r>
    </w:p>
    <w:p>
      <w:pPr>
        <w:pStyle w:val="CSSSHDecl"/>
      </w:pPr>
      <w:r>
        <w:t xml:space="preserve">Conflicts of Interest</w:t>
      </w:r>
    </w:p>
    <w:p>
      <w:pPr>
        <w:pStyle w:val="CSSSHBody"/>
      </w:pPr>
      <w:r>
        <w:t xml:space="preserve">The authors declare no conflicts of interest.</w:t>
      </w:r>
    </w:p>
    <w:p>
      <w:pPr>
        <w:pStyle w:val="CSSSHDecl"/>
      </w:pPr>
      <w:r>
        <w:t xml:space="preserve">Ethics Statement</w:t>
      </w:r>
    </w:p>
    <w:p>
      <w:pPr>
        <w:pStyle w:val="CSSSHBody"/>
      </w:pPr>
      <w:r>
        <w:t xml:space="preserve">Not applicable: the study did not involve human participants or personal data.</w:t>
      </w:r>
    </w:p>
    <w:p>
      <w:pPr>
        <w:pStyle w:val="CSSSHDecl"/>
      </w:pPr>
      <w:r>
        <w:t xml:space="preserve">Data Availability</w:t>
      </w:r>
    </w:p>
    <w:p>
      <w:pPr>
        <w:pStyle w:val="CSSSHBody"/>
      </w:pPr>
      <w:r>
        <w:t xml:space="preserve">The coding sheet supporting the findings of this study is available from the corresponding author on reasonable request.</w:t>
      </w:r>
    </w:p>
    <w:p>
      <w:pPr>
        <w:pStyle w:val="CSSSHDecl"/>
      </w:pPr>
      <w:r>
        <w:t xml:space="preserve">Use of Artificial Intelligence</w:t>
      </w:r>
    </w:p>
    <w:p>
      <w:pPr>
        <w:pStyle w:val="CSSSHBody"/>
      </w:pPr>
      <w:r>
        <w:t xml:space="preserve">No generative artificial-intelligence tools were used in the preparation of this manuscript.</w:t>
      </w:r>
    </w:p>
    <w:p>
      <w:pPr>
        <w:pStyle w:val="Heading1"/>
      </w:pPr>
      <w:r>
        <w:t xml:space="preserve">References</w:t>
      </w:r>
    </w:p>
    <w:p>
      <w:pPr>
        <w:pStyle w:val="CSSSHReference"/>
      </w:pPr>
      <w:r>
        <w:t xml:space="preserve">Autio, C., Schwartz, R., Dunietz, J., Jain, S., Stanley, M., Tabassi, E., Hall, P., &amp; Roberts, K. (2024). Artificial intelligence risk management framework: Generative artificial intelligence profile (NIST AI 600-1). National Institute of Standards and Technology. https://doi.org/10.6028/NIST.AI.600-1</w:t>
      </w:r>
    </w:p>
    <w:p>
      <w:pPr>
        <w:pStyle w:val="CSSSHReference"/>
      </w:pPr>
      <w:r>
        <w:t xml:space="preserve">Charter of Fundamental Rights of the European Union. (2016). Official Journal of the European Union, C 202, 389–405.</w:t>
      </w:r>
    </w:p>
    <w:p>
      <w:pPr>
        <w:pStyle w:val="CSSSHReference"/>
      </w:pPr>
      <w:r>
        <w:t xml:space="preserve">Convention for the Protection of Human Rights and Fundamental Freedoms. (1950, November 4). Rome.</w:t>
      </w:r>
    </w:p>
    <w:p>
      <w:pPr>
        <w:pStyle w:val="CSSSHReference"/>
      </w:pPr>
      <w:r>
        <w:t xml:space="preserve">Council of Europe. (2020). Recommendation CM/Rec(2020)1 of the Committee of Ministers to member States on the human rights impacts of algorithmic systems.</w:t>
      </w:r>
    </w:p>
    <w:p>
      <w:pPr>
        <w:pStyle w:val="CSSSHReference"/>
      </w:pPr>
      <w:r>
        <w:t xml:space="preserve">Council of Europe. (2024). Framework Convention on Artificial Intelligence and Human Rights, Democracy and the Rule of Law (CETS No. 225). https://www.coe.int/en/web/conventions/full-list?module=treaty-detail&amp;treatynum=225</w:t>
      </w:r>
    </w:p>
    <w:p>
      <w:pPr>
        <w:pStyle w:val="CSSSHReference"/>
      </w:pPr>
      <w:r>
        <w:t xml:space="preserve">da Rosa Lazarotto, B. (2025). The role of technology in citizens’ right to good administration: Examining the impact of smart governments. In Public governance and emerging technologies: Values, trust and regulatory compliance (pp. 43–59). Springer. https://doi.org/10.1007/978-3-031-84748-6_3</w:t>
      </w:r>
    </w:p>
    <w:p>
      <w:pPr>
        <w:pStyle w:val="CSSSHReference"/>
      </w:pPr>
      <w:r>
        <w:t xml:space="preserve">Das, B. C., Amini, M. H., &amp; Wu, Y. (2025). Security and privacy challenges of large language models: A survey. ACM Computing Surveys, 57(6), Article 152, 1–39. https://doi.org/10.1145/3712001</w:t>
      </w:r>
    </w:p>
    <w:p>
      <w:pPr>
        <w:pStyle w:val="CSSSHReference"/>
      </w:pPr>
      <w:r>
        <w:t xml:space="preserve">De Gregorio, G. (2022). Digital constitutionalism: An introduction. In E. Celeste &amp; G. De Gregorio (Eds.), Digital constitutionalism in Europe: Reframing rights and powers in the algorithmic society (pp. 1–37). Cambridge University Press. https://doi.org/10.1017/9781009071215.002</w:t>
      </w:r>
    </w:p>
    <w:p>
      <w:pPr>
        <w:pStyle w:val="CSSSHReference"/>
      </w:pPr>
      <w:r>
        <w:t xml:space="preserve">European Data Protection Board. (2018). Guidelines on automated individual decision-making and profiling for the purposes of Regulation 2016/679. https://www.edpb.europa.eu/documents/guideline/automated-decision-making-and-profiling_en</w:t>
      </w:r>
    </w:p>
    <w:p>
      <w:pPr>
        <w:pStyle w:val="CSSSHReference"/>
      </w:pPr>
      <w:r>
        <w:t xml:space="preserve">European Parliament and Council of the European Union. (2016). Regulation (EU) 2016/679 of 27 April 2016 on the protection of natural persons with regard to the processing of personal data and on the free movement of such data (General Data Protection Regulation). Official Journal of the European Union, L 119, 1–88. https://eur-lex.europa.eu/eli/reg/2016/679/oj</w:t>
      </w:r>
    </w:p>
    <w:p>
      <w:pPr>
        <w:pStyle w:val="CSSSHReference"/>
      </w:pPr>
      <w:r>
        <w:t xml:space="preserve">European Parliament and Council of the European Union. (2024). Regulation (EU) 2024/1689 of 13 June 2024 laying down harmonised rules on artificial intelligence (Artificial Intelligence Act). Official Journal of the European Union, L, 2024/1689. https://eur-lex.europa.eu/eli/reg/2024/1689/oj</w:t>
      </w:r>
    </w:p>
    <w:p>
      <w:pPr>
        <w:pStyle w:val="CSSSHReference"/>
      </w:pPr>
      <w:r>
        <w:t xml:space="preserve">Greenstein, S. (2022). Preserving the rule of law in the era of artificial intelligence (AI). Artificial Intelligence and Law, 30(3), 291–323. https://doi.org/10.1007/s10506-021-09294-4</w:t>
      </w:r>
    </w:p>
    <w:p>
      <w:pPr>
        <w:pStyle w:val="CSSSHReference"/>
      </w:pPr>
      <w:r>
        <w:t xml:space="preserve">Kouroutakis, A. E. (2024). Rule of law in the AI era: Addressing accountability and the digital divide. Discover Artificial Intelligence, 4, 115. https://doi.org/10.1007/s44163-024-00191-8</w:t>
      </w:r>
    </w:p>
    <w:p>
      <w:pPr>
        <w:pStyle w:val="CSSSHReference"/>
      </w:pPr>
      <w:r>
        <w:t xml:space="preserve">Langer, C. (2024). Decision-making power and responsibility in an automated administration. Discover Artificial Intelligence, 4, 59. https://doi.org/10.1007/s44163-024-00152-1</w:t>
      </w:r>
    </w:p>
    <w:p>
      <w:pPr>
        <w:pStyle w:val="CSSSHReference"/>
      </w:pPr>
      <w:r>
        <w:t xml:space="preserve">Røhl, U. B. U. (2023). Automated decision-making and good administration: Views from inside the government machinery. Government Information Quarterly, 40(4), 101864. https://doi.org/10.1016/j.giq.2023.101864</w:t>
      </w:r>
    </w:p>
    <w:sectPr>
      <w:footerReference w:type="default" r:id="rId7"/>
      <w:pgSz w:w="11906" w:h="16838" w:orient="portrait"/>
      <w:pgMar w:top="1417" w:right="1417" w:bottom="1417" w:left="141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PT Serif" w:cs="PT Serif" w:eastAsia="PT Serif" w:hAnsi="PT Serif"/>
        <w:color w:val="6E6E6E"/>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T Serif" w:cs="PT Serif" w:eastAsia="PT Serif" w:hAnsi="PT Serif"/>
        <w:color w:val="000000"/>
        <w:sz w:val="22"/>
        <w:szCs w:val="22"/>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SSSHBody">
    <w:name w:val="CSSSH Body"/>
    <w:basedOn w:val="Normal"/>
    <w:next w:val="CSSSHBody"/>
    <w:qFormat/>
    <w:pPr>
      <w:spacing w:line="276" w:lineRule="auto"/>
      <w:ind w:firstLine="283"/>
      <w:jc w:val="both"/>
    </w:pPr>
    <w:rPr>
      <w:rFonts w:ascii="PT Serif" w:cs="PT Serif" w:eastAsia="PT Serif" w:hAnsi="PT Serif"/>
      <w:sz w:val="22"/>
      <w:szCs w:val="22"/>
    </w:rPr>
  </w:style>
  <w:style w:type="paragraph" w:styleId="CSSSHTitle">
    <w:name w:val="CSSSH Article Title"/>
    <w:basedOn w:val="Normal"/>
    <w:next w:val="CSSSHAuthor"/>
    <w:qFormat/>
    <w:pPr>
      <w:spacing w:after="200" w:before="240" w:line="276" w:lineRule="auto"/>
      <w:jc w:val="center"/>
    </w:pPr>
    <w:rPr>
      <w:rFonts w:ascii="PT Serif" w:cs="PT Serif" w:eastAsia="PT Serif" w:hAnsi="PT Serif"/>
      <w:b/>
      <w:bCs/>
      <w:smallCaps/>
      <w:color w:val="1B4D3A"/>
      <w:sz w:val="32"/>
      <w:szCs w:val="32"/>
    </w:rPr>
  </w:style>
  <w:style w:type="paragraph" w:styleId="CSSSHAuthor">
    <w:name w:val="CSSSH Author"/>
    <w:basedOn w:val="Normal"/>
    <w:next w:val="CSSSHAffiliation"/>
    <w:qFormat/>
    <w:pPr>
      <w:spacing w:after="0" w:before="200" w:line="252" w:lineRule="auto"/>
      <w:jc w:val="center"/>
    </w:pPr>
    <w:rPr>
      <w:rFonts w:ascii="PT Serif" w:cs="PT Serif" w:eastAsia="PT Serif" w:hAnsi="PT Serif"/>
      <w:b/>
      <w:bCs/>
      <w:sz w:val="22"/>
      <w:szCs w:val="22"/>
    </w:rPr>
  </w:style>
  <w:style w:type="paragraph" w:styleId="CSSSHAffiliation">
    <w:name w:val="CSSSH Affiliation"/>
    <w:basedOn w:val="Normal"/>
    <w:next w:val="CSSSHAffiliation"/>
    <w:qFormat/>
    <w:pPr>
      <w:spacing w:after="0" w:before="0" w:line="240" w:lineRule="auto"/>
      <w:jc w:val="center"/>
    </w:pPr>
    <w:rPr>
      <w:rFonts w:ascii="PT Serif" w:cs="PT Serif" w:eastAsia="PT Serif" w:hAnsi="PT Serif"/>
      <w:sz w:val="21"/>
      <w:szCs w:val="21"/>
    </w:rPr>
  </w:style>
  <w:style w:type="paragraph" w:styleId="CSSSHAbstract">
    <w:name w:val="CSSSH Abstract"/>
    <w:basedOn w:val="Normal"/>
    <w:next w:val="CSSSHAbstract"/>
    <w:qFormat/>
    <w:pPr>
      <w:spacing w:after="120" w:before="0" w:line="276" w:lineRule="auto"/>
      <w:jc w:val="both"/>
    </w:pPr>
    <w:rPr>
      <w:rFonts w:ascii="PT Serif" w:cs="PT Serif" w:eastAsia="PT Serif" w:hAnsi="PT Serif"/>
      <w:i/>
      <w:iCs/>
      <w:sz w:val="21"/>
      <w:szCs w:val="21"/>
    </w:rPr>
  </w:style>
  <w:style w:type="paragraph" w:styleId="CSSSHKeywords">
    <w:name w:val="CSSSH Keywords"/>
    <w:basedOn w:val="Normal"/>
    <w:next w:val="CSSSHBody"/>
    <w:qFormat/>
    <w:pPr>
      <w:spacing w:after="160" w:before="0" w:line="276" w:lineRule="auto"/>
      <w:jc w:val="both"/>
    </w:pPr>
    <w:rPr>
      <w:rFonts w:ascii="PT Serif" w:cs="PT Serif" w:eastAsia="PT Serif" w:hAnsi="PT Serif"/>
      <w:sz w:val="21"/>
      <w:szCs w:val="21"/>
    </w:rPr>
  </w:style>
  <w:style w:type="paragraph" w:styleId="Heading1">
    <w:name w:val="Heading 1"/>
    <w:basedOn w:val="Normal"/>
    <w:next w:val="CSSSHBody"/>
    <w:qFormat/>
    <w:pPr>
      <w:keepNext/>
      <w:spacing w:after="120" w:before="300" w:line="276" w:lineRule="auto"/>
      <w:jc w:val="left"/>
      <w:outlineLvl w:val="0"/>
    </w:pPr>
    <w:rPr>
      <w:rFonts w:ascii="PT Serif" w:cs="PT Serif" w:eastAsia="PT Serif" w:hAnsi="PT Serif"/>
      <w:b/>
      <w:bCs/>
      <w:smallCaps/>
      <w:color w:val="1B4D3A"/>
      <w:sz w:val="26"/>
      <w:szCs w:val="26"/>
    </w:rPr>
  </w:style>
  <w:style w:type="paragraph" w:styleId="Heading2">
    <w:name w:val="Heading 2"/>
    <w:basedOn w:val="Normal"/>
    <w:next w:val="CSSSHBody"/>
    <w:qFormat/>
    <w:pPr>
      <w:keepNext/>
      <w:spacing w:after="100" w:before="240" w:line="276" w:lineRule="auto"/>
      <w:jc w:val="left"/>
      <w:outlineLvl w:val="1"/>
    </w:pPr>
    <w:rPr>
      <w:rFonts w:ascii="PT Serif" w:cs="PT Serif" w:eastAsia="PT Serif" w:hAnsi="PT Serif"/>
      <w:b/>
      <w:bCs/>
      <w:color w:val="1B4D3A"/>
      <w:sz w:val="23"/>
      <w:szCs w:val="23"/>
    </w:rPr>
  </w:style>
  <w:style w:type="paragraph" w:styleId="CSSSHDecl">
    <w:name w:val="CSSSH Declaration Heading"/>
    <w:basedOn w:val="Normal"/>
    <w:next w:val="CSSSHBody"/>
    <w:qFormat/>
    <w:pPr>
      <w:keepNext/>
      <w:spacing w:after="80" w:before="240" w:line="264" w:lineRule="auto"/>
      <w:jc w:val="left"/>
    </w:pPr>
    <w:rPr>
      <w:rFonts w:ascii="PT Serif" w:cs="PT Serif" w:eastAsia="PT Serif" w:hAnsi="PT Serif"/>
      <w:b/>
      <w:bCs/>
      <w:smallCaps/>
      <w:color w:val="1B4D3A"/>
      <w:sz w:val="23"/>
      <w:szCs w:val="23"/>
    </w:rPr>
  </w:style>
  <w:style w:type="paragraph" w:styleId="CSSSHCaption">
    <w:name w:val="CSSSH Caption"/>
    <w:basedOn w:val="Normal"/>
    <w:next w:val="CSSSHBody"/>
    <w:qFormat/>
    <w:pPr>
      <w:keepNext/>
      <w:spacing w:after="60" w:before="240" w:line="252" w:lineRule="auto"/>
      <w:jc w:val="left"/>
    </w:pPr>
    <w:rPr>
      <w:rFonts w:ascii="PT Serif" w:cs="PT Serif" w:eastAsia="PT Serif" w:hAnsi="PT Serif"/>
      <w:sz w:val="20"/>
      <w:szCs w:val="20"/>
    </w:rPr>
  </w:style>
  <w:style w:type="paragraph" w:styleId="CSSSHNote">
    <w:name w:val="CSSSH Note"/>
    <w:basedOn w:val="Normal"/>
    <w:next w:val="CSSSHBody"/>
    <w:qFormat/>
    <w:pPr>
      <w:spacing w:after="200" w:before="80" w:line="252" w:lineRule="auto"/>
      <w:jc w:val="left"/>
    </w:pPr>
    <w:rPr>
      <w:rFonts w:ascii="PT Serif" w:cs="PT Serif" w:eastAsia="PT Serif" w:hAnsi="PT Serif"/>
      <w:sz w:val="19"/>
      <w:szCs w:val="19"/>
    </w:rPr>
  </w:style>
  <w:style w:type="paragraph" w:styleId="CSSSHTableText">
    <w:name w:val="CSSSH Table Text"/>
    <w:basedOn w:val="Normal"/>
    <w:next w:val="CSSSHTableText"/>
    <w:pPr>
      <w:spacing w:after="20" w:before="20" w:line="252" w:lineRule="auto"/>
      <w:jc w:val="left"/>
    </w:pPr>
    <w:rPr>
      <w:rFonts w:ascii="PT Serif" w:cs="PT Serif" w:eastAsia="PT Serif" w:hAnsi="PT Serif"/>
      <w:sz w:val="20"/>
      <w:szCs w:val="20"/>
    </w:rPr>
  </w:style>
  <w:style w:type="paragraph" w:styleId="CSSSHReference">
    <w:name w:val="CSSSH Reference"/>
    <w:basedOn w:val="Normal"/>
    <w:next w:val="CSSSHReference"/>
    <w:qFormat/>
    <w:pPr>
      <w:spacing w:after="40" w:before="0" w:line="264" w:lineRule="auto"/>
      <w:ind w:left="340" w:hanging="340"/>
      <w:jc w:val="left"/>
    </w:pPr>
    <w:rPr>
      <w:rFonts w:ascii="PT Serif" w:cs="PT Serif" w:eastAsia="PT Serif" w:hAnsi="PT Serif"/>
      <w:sz w:val="20"/>
      <w:szCs w:val="20"/>
    </w:rPr>
  </w:style>
  <w:style w:type="paragraph" w:styleId="CSSSHRuleKey">
    <w:name w:val="CSSSH Rule Key"/>
    <w:basedOn w:val="Normal"/>
    <w:next w:val="CSSSHRuleKey"/>
    <w:pPr>
      <w:spacing w:after="0" w:before="0" w:line="240" w:lineRule="auto"/>
      <w:jc w:val="left"/>
    </w:pPr>
    <w:rPr>
      <w:rFonts w:ascii="PT Serif" w:cs="PT Serif" w:eastAsia="PT Serif" w:hAnsi="PT Serif"/>
      <w:b/>
      <w:bCs/>
      <w:color w:val="1B4D3A"/>
      <w:sz w:val="20"/>
      <w:szCs w:val="20"/>
    </w:rPr>
  </w:style>
  <w:style w:type="paragraph" w:styleId="CSSSHRuleVal">
    <w:name w:val="CSSSH Rule Value"/>
    <w:basedOn w:val="Normal"/>
    <w:next w:val="CSSSHRuleVal"/>
    <w:pPr>
      <w:spacing w:after="0" w:before="0" w:line="240" w:lineRule="auto"/>
      <w:jc w:val="left"/>
    </w:pPr>
    <w:rPr>
      <w:rFonts w:ascii="PT Serif" w:cs="PT Serif" w:eastAsia="PT Serif" w:hAnsi="PT Serif"/>
      <w:sz w:val="20"/>
      <w:szCs w:val="20"/>
    </w:rPr>
  </w:style>
  <w:style w:type="paragraph" w:styleId="CSSSHMasthead">
    <w:name w:val="CSSSH Masthead"/>
    <w:basedOn w:val="Normal"/>
    <w:next w:val="CSSSHBody"/>
    <w:pPr>
      <w:spacing w:after="0" w:before="0" w:line="240" w:lineRule="auto"/>
      <w:jc w:val="left"/>
    </w:pPr>
    <w:rPr>
      <w:rFonts w:ascii="PT Serif" w:cs="PT Serif" w:eastAsia="PT Serif" w:hAnsi="PT Serif"/>
      <w:b/>
      <w:bCs/>
      <w:smallCaps/>
      <w:color w:val="1B4D3A"/>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y9b20nffp2sc5lyd1ps" Type="http://schemas.openxmlformats.org/officeDocument/2006/relationships/hyperlink" Target="https://csssh.ess.press/index.php/CSSSH/about/submissions" TargetMode="External"/><Relationship Id="rId8" Type="http://schemas.openxmlformats.org/officeDocument/2006/relationships/image" Target="media/405cd72ca4b9baa94461f76893a4be9caff2bd91.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 Conference Series: Social Science and Humanities — Manuscript Template</dc:title>
  <dc:creator>ESS Press</dc:creator>
  <dc:description>Manuscript template and formatting rules for authors submitting to the ESS Conference Series: Social Science and Humanities (CSSSH).</dc:description>
  <cp:lastModifiedBy>Un-named</cp:lastModifiedBy>
  <cp:revision>1</cp:revision>
  <dcterms:created xsi:type="dcterms:W3CDTF">2026-09-10T08:25:50.192Z</dcterms:created>
  <dcterms:modified xsi:type="dcterms:W3CDTF">2026-09-10T08:25:50.199Z</dcterms:modified>
</cp:coreProperties>
</file>

<file path=docProps/custom.xml><?xml version="1.0" encoding="utf-8"?>
<Properties xmlns="http://schemas.openxmlformats.org/officeDocument/2006/custom-properties" xmlns:vt="http://schemas.openxmlformats.org/officeDocument/2006/docPropsVTypes"/>
</file>